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640766" w:rsidRDefault="004A4CB3" w:rsidP="00640766">
      <w:pPr>
        <w:tabs>
          <w:tab w:val="left" w:pos="708"/>
        </w:tabs>
        <w:jc w:val="right"/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2878D9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2</w:t>
      </w:r>
      <w:r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 xml:space="preserve"> do SIWZ</w:t>
      </w:r>
      <w:r w:rsidR="00640766" w:rsidRPr="006407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10018A" w:rsidRDefault="0010018A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40766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</w:p>
    <w:p w:rsid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</w:p>
    <w:p w:rsid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 w:rsidRPr="00640766">
        <w:rPr>
          <w:b/>
          <w:color w:val="000000"/>
          <w:kern w:val="1"/>
          <w:lang w:eastAsia="ar-SA"/>
        </w:rPr>
        <w:t>Nr postepowania: PO VII WB 261.5.2018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</w:p>
    <w:p w:rsidR="004A4CB3" w:rsidRP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  <w:r w:rsidRPr="00640766">
        <w:rPr>
          <w:b/>
          <w:color w:val="000000"/>
          <w:kern w:val="1"/>
          <w:lang w:eastAsia="ar-SA"/>
        </w:rPr>
        <w:t>Zamawiający:</w:t>
      </w:r>
    </w:p>
    <w:p w:rsid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Prokuratura Okręgowa w Piotrkowie Trybunalskim</w:t>
      </w:r>
    </w:p>
    <w:p w:rsid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Al. 3 Maja 13/15</w:t>
      </w:r>
    </w:p>
    <w:p w:rsidR="00640766" w:rsidRPr="00640766" w:rsidRDefault="00640766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97-300 Piotrków Trybunalski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10018A" w:rsidRDefault="0010018A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10018A" w:rsidRPr="0010018A" w:rsidRDefault="0010018A" w:rsidP="0010018A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na </w:t>
      </w:r>
      <w:r w:rsidRPr="0010018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„Świadczenie usług pełnienia funkcji wielobranżowego nadzoru inwestorskiego w ramach</w:t>
      </w:r>
      <w:r w:rsidRPr="001001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zadania inwestycyjnego „Budowa budynku Prokuratury Rejonowej w Bełchatowie”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0018A" w:rsidRDefault="004A4CB3" w:rsidP="00100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0018A">
        <w:rPr>
          <w:rFonts w:ascii="Times New Roman" w:eastAsia="Times New Roman" w:hAnsi="Times New Roman" w:cs="Times New Roman"/>
          <w:kern w:val="1"/>
          <w:sz w:val="20"/>
          <w:szCs w:val="20"/>
        </w:rPr>
        <w:t>Oświadczenie składane na podstawie art. 25a ust. 1 ustawy z dnia 29 stycznia 2004 r. Prawo zamówień publicznych (</w:t>
      </w:r>
      <w:r w:rsidR="0010018A" w:rsidRPr="0010018A">
        <w:rPr>
          <w:rFonts w:ascii="Times New Roman" w:eastAsia="Times New Roman" w:hAnsi="Times New Roman" w:cs="Times New Roman"/>
          <w:kern w:val="1"/>
          <w:sz w:val="20"/>
          <w:szCs w:val="20"/>
        </w:rPr>
        <w:t>Dz. U. z 2017 r., poz. 1579 ze zm.) zwana dalej „Ustawą”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10018A" w:rsidRDefault="00640766" w:rsidP="0010018A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4DF4" w:rsidRPr="0027752D">
        <w:rPr>
          <w:rFonts w:ascii="Times New Roman" w:hAnsi="Times New Roman" w:cs="Times New Roman"/>
          <w:sz w:val="24"/>
          <w:szCs w:val="24"/>
        </w:rPr>
        <w:t>ziałając w imieniu i na rzecz</w:t>
      </w:r>
      <w:r w:rsidR="009A4DF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A4DF4"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CF2A77" w:rsidRPr="00564624" w:rsidRDefault="00CF2A77" w:rsidP="00CF2A7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CF2A77" w:rsidRPr="00564624" w:rsidRDefault="00CF2A77" w:rsidP="00CF2A7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  <w:bookmarkStart w:id="0" w:name="_GoBack"/>
      <w:bookmarkEnd w:id="0"/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CF2A77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</w:t>
      </w: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CF2A77" w:rsidRDefault="00CF2A77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72" w:rsidRDefault="00083772" w:rsidP="00036078">
      <w:pPr>
        <w:spacing w:after="0" w:line="240" w:lineRule="auto"/>
      </w:pPr>
      <w:r>
        <w:separator/>
      </w:r>
    </w:p>
  </w:endnote>
  <w:endnote w:type="continuationSeparator" w:id="0">
    <w:p w:rsidR="00083772" w:rsidRDefault="00083772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72" w:rsidRDefault="00083772" w:rsidP="00036078">
      <w:pPr>
        <w:spacing w:after="0" w:line="240" w:lineRule="auto"/>
      </w:pPr>
      <w:r>
        <w:separator/>
      </w:r>
    </w:p>
  </w:footnote>
  <w:footnote w:type="continuationSeparator" w:id="0">
    <w:p w:rsidR="00083772" w:rsidRDefault="00083772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083772"/>
    <w:rsid w:val="0010018A"/>
    <w:rsid w:val="00194E4D"/>
    <w:rsid w:val="00205B91"/>
    <w:rsid w:val="0023616F"/>
    <w:rsid w:val="002878D9"/>
    <w:rsid w:val="003A4C4A"/>
    <w:rsid w:val="003C53D2"/>
    <w:rsid w:val="004A4CB3"/>
    <w:rsid w:val="00522122"/>
    <w:rsid w:val="00564624"/>
    <w:rsid w:val="00584E45"/>
    <w:rsid w:val="00640766"/>
    <w:rsid w:val="007F1CEE"/>
    <w:rsid w:val="00807E6B"/>
    <w:rsid w:val="008D2867"/>
    <w:rsid w:val="00935284"/>
    <w:rsid w:val="009909E4"/>
    <w:rsid w:val="009A4DF4"/>
    <w:rsid w:val="009D1DDA"/>
    <w:rsid w:val="009D4609"/>
    <w:rsid w:val="00A93B37"/>
    <w:rsid w:val="00B61F81"/>
    <w:rsid w:val="00C13538"/>
    <w:rsid w:val="00C26A9B"/>
    <w:rsid w:val="00CF2A77"/>
    <w:rsid w:val="00DB3A11"/>
    <w:rsid w:val="00DE095B"/>
    <w:rsid w:val="00E7741B"/>
    <w:rsid w:val="00EC0163"/>
    <w:rsid w:val="00EF0DED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15</cp:revision>
  <cp:lastPrinted>2018-07-17T10:32:00Z</cp:lastPrinted>
  <dcterms:created xsi:type="dcterms:W3CDTF">2014-06-26T08:11:00Z</dcterms:created>
  <dcterms:modified xsi:type="dcterms:W3CDTF">2018-07-17T10:33:00Z</dcterms:modified>
</cp:coreProperties>
</file>